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№ 15</w:t>
      </w:r>
      <w:r>
        <w:rPr>
          <w:sz w:val="28"/>
          <w:szCs w:val="28"/>
        </w:rPr>
        <w:t>5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253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>в связи с тем, что площадь земельного участка меньше установленной градостроительным регламентом минимальной площади земельных участков, на основании заключения о результатах публичных слушаний, учитывая рекомендации Комиссии по землепользованию и застройке Приморско-Ахтарского городского поселения, 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253 для строительства индивидуального жилого дома, определив отступ от границы смежного земельного участка по улице Мира, 251— 1,8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2525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2021-02-12T12:33:46Z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