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31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15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января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30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15 января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76"/>
      </w:tblGrid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администрации Приморско-Ахтарского городского поселения Приморско-Ахтарского района, председатель комиссии;     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</w:t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left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6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Краснодарский край, Приморско-Ахтарский район, г. Приморско-Ахтарск,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ул. Комсомольская, д. 66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1774 кв.м.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23:25:0101238:50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разрешенного использования земельного участка: под производственной базой, для сельскохозяйственного производства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38177,63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1145,33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38177,63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территория ГСК «Восход», гараж № 80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28 кв.м.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23:25:0101210:122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разрешенного использования земельного участка: объекты гаражного назначения, для размещения индивидуальных гаражей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3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484,25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14,53 руб.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размер задатка: 484,25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хутор Садки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6386 кв.м.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сельскохозяйственного назначения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23:25:0000000:2511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разрешенного использования земельного участка: сельскохозяйственное использование, для сельскохозяйственного производства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1044,11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31,32 руб.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размер задатка: 1044,11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14 января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Кучма Алексей Сергеевич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>30 декабря 1992 г.р., зарегистрированный по адресу: Краснодарский край, Приморско-Ахтарский район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г. Приморско-Ахтарск, ул. Фестивальная, д. 100 </w:t>
      </w:r>
      <w:r>
        <w:rPr>
          <w:b w:val="false"/>
          <w:bCs w:val="false"/>
          <w:color w:val="000000"/>
          <w:highlight w:val="white"/>
        </w:rPr>
        <w:t xml:space="preserve">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29 декабря  2020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 - физическое лицо, заявка на участие  принята 12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 принята 13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b w:val="false"/>
          <w:bCs w:val="false"/>
          <w:color w:val="000000"/>
          <w:highlight w:val="white"/>
          <w:lang w:eastAsia="ru-RU"/>
        </w:rPr>
        <w:t>17 ноября 1974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b w:val="false"/>
          <w:bCs w:val="false"/>
          <w:color w:val="000000"/>
          <w:highlight w:val="white"/>
          <w:lang w:eastAsia="ru-RU"/>
        </w:rPr>
        <w:t>10 августа 1982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пгт. Афипский, ул. Гоголя, д. 15 -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Количество отозванных заявок — </w:t>
      </w:r>
      <w:r>
        <w:rPr>
          <w:b/>
          <w:bCs/>
          <w:color w:val="000000"/>
          <w:highlight w:val="white"/>
          <w:lang w:eastAsia="ru-RU"/>
        </w:rPr>
        <w:t>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 xml:space="preserve">Петров Андрей Анатольевич </w:t>
      </w:r>
      <w:r>
        <w:rPr>
          <w:b w:val="false"/>
          <w:bCs w:val="false"/>
          <w:color w:val="000000"/>
          <w:highlight w:val="white"/>
          <w:lang w:eastAsia="ru-RU"/>
        </w:rPr>
        <w:t>29 октября 1984 г.р., зарегистрированный по адресу: Краснодарский край, г. Приморско-Ахтарск, ул. 50 лет Октября, д. 124, кв. 61 - физическое лицо, заявка на участие  принята 22 декабря  2020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Количество отозванных заявок — </w:t>
      </w:r>
      <w:r>
        <w:rPr>
          <w:b/>
          <w:bCs/>
          <w:color w:val="000000"/>
          <w:highlight w:val="white"/>
          <w:lang w:eastAsia="ru-RU"/>
        </w:rPr>
        <w:t>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color w:val="000000"/>
          <w:highlight w:val="white"/>
          <w:lang w:eastAsia="ru-RU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Манжула Геннадий Иванович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августа 1966 г.р., зарегистрированный по адресу: Краснодарский край, Приморско-Ахтарский район, г. Приморско-Ахтарск, ул. Фестивальная, д. 30, </w:t>
      </w:r>
      <w:r>
        <w:rPr>
          <w:b/>
          <w:bCs/>
          <w:color w:val="000000"/>
          <w:highlight w:val="white"/>
          <w:lang w:eastAsia="ru-RU"/>
        </w:rPr>
        <w:t>в лице Лисина Андрея Петровича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зарегистрированного по адресу: Краснодарский край, Приморско-Ахтарский район, г. Приморско-Ахтарск, ул. Мира, д. 37, кв. 1, заявка на участие  принята 23 декабря  2020 года, подана в срок и по форме, установленной аукционной документацией. Задаток внесен в установленный срок.</w:t>
      </w:r>
      <w:r>
        <w:rPr>
          <w:b/>
          <w:bCs/>
          <w:color w:val="000000"/>
          <w:highlight w:val="white"/>
          <w:lang w:eastAsia="ru-RU"/>
        </w:rPr>
        <w:t xml:space="preserve"> (Заявка отозвана)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Кисель Дмитрий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 сентября 1980 г.р., зарегистрированный по адресу: Краснодарский край, г. Сочи, ул. Череповецкая, д. 16, кв. 54 - физическое лицо, заявка на участие  принята 16 декабря  2020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Крымский район, г. Крымск, ул. Шевченко, д. 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1 - физическое лицо, заявка на участие  принята 13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b w:val="false"/>
          <w:bCs w:val="false"/>
          <w:color w:val="000000"/>
          <w:highlight w:val="white"/>
          <w:lang w:eastAsia="ru-RU"/>
        </w:rPr>
        <w:t>17 ноября 1974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ст. Северская, ул. Запорожская, д. 38А, кв. 9 -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10. 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- г.р., зарегистрированный по адресу: Краснодарский край, Северский р-н., пгт. Афипский, ул. Гоголя, д. 15 - физическое лицо, заявка на участие  принята 14 января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Количество отозванных заявок – 1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 xml:space="preserve">                                                   </w:t>
      </w: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highlight w:val="white"/>
        </w:rPr>
        <w:t xml:space="preserve">По </w:t>
      </w: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Кучма Алексей Сергеевич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>30 декабря 1992 г.р., зарегистрированный по адресу: Краснодарский край, Приморско-Ахтарский район</w:t>
      </w:r>
      <w:r>
        <w:rPr>
          <w:b w:val="false"/>
          <w:bCs w:val="false"/>
          <w:color w:val="000000"/>
          <w:highlight w:val="white"/>
          <w:lang w:eastAsia="ru-RU"/>
        </w:rPr>
        <w:t>, г. Приморско-Ахтарск, ул. Фестивальная, д. 100,</w:t>
      </w:r>
      <w:r>
        <w:rPr>
          <w:b w:val="false"/>
          <w:bCs w:val="false"/>
          <w:color w:val="000000"/>
          <w:highlight w:val="white"/>
        </w:rPr>
        <w:t> 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2.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зарегистрированный по адресу: Краснодарский край, г. Краснодар, ул. им. Атарбекова, д. 38, кв. 37,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зарегистрированный по адресу: Краснодарский край, г. Краснодар, ул. им. Атарбекова, д. 38, кв. 37,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4.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зарегистрированный по адресу: Краснодарский край, Северский р-н., ст. Смоленская, ул. Орджоникидзе, д. 11, кв. 1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5.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6.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b w:val="false"/>
          <w:bCs w:val="false"/>
          <w:color w:val="000000"/>
          <w:highlight w:val="white"/>
          <w:lang w:eastAsia="ru-RU"/>
        </w:rPr>
        <w:t>17 ноября 1974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ст. Северская, ул. Запорожская, д. 38А, кв. 9,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7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bookmarkStart w:id="3" w:name="__DdeLink__460_2792491676"/>
      <w:r>
        <w:rPr>
          <w:b w:val="false"/>
          <w:bCs w:val="false"/>
          <w:color w:val="000000"/>
          <w:highlight w:val="white"/>
          <w:lang w:eastAsia="ru-RU"/>
        </w:rPr>
        <w:t>10 августа 1982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пгт. Афипский, ул. Гоголя, д. 15,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</w:t>
      </w:r>
      <w:bookmarkEnd w:id="3"/>
      <w:r>
        <w:rPr>
          <w:b/>
          <w:bCs/>
          <w:color w:val="000000"/>
          <w:highlight w:val="white"/>
          <w:lang w:eastAsia="ru-RU"/>
        </w:rPr>
        <w:t xml:space="preserve"> 8.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9.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По </w:t>
      </w: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 xml:space="preserve">Петров Андрей Анатольевич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29 октября 1984 г.р., зарегистрированный по адресу: Краснодарский край, г. Приморско-Ахтарск, ул. 50 лет Октября, д. 124, кв. 61,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район, г. Приморско-Ахтарск, ул. Космонавтов, д. 223, корп. 1,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г.р., 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 №</w:t>
      </w:r>
      <w:r>
        <w:rPr>
          <w:b/>
          <w:bCs/>
          <w:color w:val="000000"/>
          <w:highlight w:val="white"/>
          <w:lang w:eastAsia="ru-RU"/>
        </w:rPr>
        <w:t>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зарегистрированный по адресу: Краснодарский край, г. Краснодар, п. Индустриальный, ул. Миргородская, д. 54,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4.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По </w:t>
      </w:r>
      <w:r>
        <w:rPr>
          <w:b/>
          <w:bCs/>
          <w:color w:val="000000"/>
          <w:highlight w:val="white"/>
          <w:lang w:eastAsia="ru-RU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Кисель Дмитрий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 сентября 1980 г.р., зарегистрированный по адресу: Краснодарский край, г. Сочи, ул. Череповецкая, д. 16, кв. 54,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1.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Приморско-Ахтарский район, г. Приморско-Ахтарск, ул. Космонавтов, д. 223, корп. 1,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Сейтмамутов Руслан Раимович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 апреля 1974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г. Краснодар, ул. им. Атарбекова, д. 38, кв. 37,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3.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Хабаров Аркадий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25 февраля 1974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г. Краснодар, ул. им. Атарбекова, д. 38, кв. 37,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4.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 31 октября 1986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Северский р-н., ст. Смоленская, ул. Орджоникидзе, д. 11, кв. 1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 5.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>Белкин Игорь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14 мая 1984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адресу: Краснодарский край, г. Краснодар, п. Индустриальный, ул. Миргородская, д. 54,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6.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 xml:space="preserve">Чубарь Нина Анатольевна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 сентября 1992 г.р. </w:t>
      </w:r>
      <w:r>
        <w:rPr>
          <w:b w:val="false"/>
          <w:bCs w:val="false"/>
          <w:color w:val="000000"/>
          <w:highlight w:val="white"/>
          <w:lang w:eastAsia="ru-RU"/>
        </w:rPr>
        <w:t xml:space="preserve">зарегистрированный по адресу (Свидетельство № 1794 о регистрации по месту пребывания): Краснодарский край, Динской р-н., ст. Нововеличковская, ул. Октябрьская, д. 16В,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>Забиранов Андрей 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b w:val="false"/>
          <w:bCs w:val="false"/>
          <w:color w:val="000000"/>
          <w:highlight w:val="white"/>
          <w:lang w:eastAsia="ru-RU"/>
        </w:rPr>
        <w:t>17 ноября 1974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ст. Северская, ул. Запорожская, д. 38А, кв. 9, </w:t>
      </w:r>
      <w:r>
        <w:rPr>
          <w:b/>
          <w:bCs/>
          <w:color w:val="000000"/>
          <w:highlight w:val="white"/>
          <w:lang w:eastAsia="ru-RU"/>
        </w:rPr>
        <w:t xml:space="preserve">допустить и признать участником № </w:t>
      </w:r>
      <w:r>
        <w:rPr>
          <w:b/>
          <w:bCs/>
          <w:color w:val="000000"/>
          <w:highlight w:val="white"/>
          <w:lang w:eastAsia="ru-RU"/>
        </w:rPr>
        <w:t>8.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 xml:space="preserve">Олексишин Александр Николаевич </w:t>
      </w:r>
      <w:r>
        <w:rPr>
          <w:b w:val="false"/>
          <w:bCs w:val="false"/>
          <w:color w:val="000000"/>
          <w:highlight w:val="white"/>
          <w:lang w:eastAsia="ru-RU"/>
        </w:rPr>
        <w:t>10 августа 1982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Северский р-н., пгт. Афипский, ул. Гоголя, д. 15, </w:t>
      </w:r>
      <w:r>
        <w:rPr>
          <w:b/>
          <w:bCs/>
          <w:color w:val="000000"/>
          <w:highlight w:val="white"/>
          <w:lang w:eastAsia="ru-RU"/>
        </w:rPr>
        <w:t>допустить и признать участником №</w:t>
      </w:r>
      <w:r>
        <w:rPr>
          <w:b/>
          <w:bCs/>
          <w:color w:val="000000"/>
          <w:highlight w:val="white"/>
          <w:lang w:eastAsia="ru-RU"/>
        </w:rPr>
        <w:t>9.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spacing w:val="-5"/>
          <w:highlight w:val="white"/>
        </w:rPr>
        <w:t>Председатель комиссии: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Е.В. Ерошкин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 w:val="false"/>
          <w:bCs/>
          <w:color w:val="000000"/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7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Application>LibreOffice/5.4.2.2$Windows_X86_64 LibreOffice_project/22b09f6418e8c2d508a9eaf86b2399209b0990f4</Application>
  <Pages>6</Pages>
  <Words>2412</Words>
  <Characters>15524</Characters>
  <CharactersWithSpaces>18510</CharactersWithSpaces>
  <Paragraphs>154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2021-01-15T16:36:17Z</cp:lastPrinted>
  <dcterms:modified xsi:type="dcterms:W3CDTF">2021-01-15T16:38:23Z</dcterms:modified>
  <cp:revision>205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