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41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</w:r>
      <w:bookmarkEnd w:id="1"/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29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ноября 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10 ч. 40 мин. 29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ноября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9"/>
        <w:gridCol w:w="32"/>
        <w:gridCol w:w="395"/>
        <w:gridCol w:w="33"/>
        <w:gridCol w:w="5626"/>
      </w:tblGrid>
      <w:tr>
        <w:trPr>
          <w:trHeight w:val="347" w:hRule="atLeast"/>
        </w:trPr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clear" w:pos="708"/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>
                <w:sz w:val="24"/>
                <w:szCs w:val="24"/>
                <w:lang w:eastAsia="ar-SA"/>
              </w:rPr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highlight w:val="white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highlight w:val="white"/>
        </w:rPr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Адрес земельного участка: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Краснодарский край, Приморско-Ахтарский район, </w:t>
      </w:r>
      <w:r>
        <w:rPr>
          <w:sz w:val="24"/>
          <w:szCs w:val="24"/>
          <w:lang w:val="ru-RU"/>
        </w:rPr>
        <w:t>Ачуевская коса, в районе Авдеева гирла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15</w:t>
      </w:r>
      <w:r>
        <w:rPr>
          <w:sz w:val="24"/>
          <w:szCs w:val="24"/>
          <w:lang w:val="en-US"/>
        </w:rPr>
        <w:t>500</w:t>
      </w:r>
      <w:r>
        <w:rPr>
          <w:sz w:val="24"/>
          <w:szCs w:val="24"/>
        </w:rPr>
        <w:t xml:space="preserve"> кв.м;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категория земель: земли сельскохозяйственного назначения;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07</w:t>
      </w:r>
      <w:r>
        <w:rPr>
          <w:sz w:val="24"/>
          <w:szCs w:val="24"/>
        </w:rPr>
        <w:t>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пчеловодство;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83,7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2,51руб.;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83,7 руб.;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/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17-00 часов, 26 ноября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1: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1.Тушнинский Василий Николаевич, </w:t>
      </w:r>
      <w:r>
        <w:rPr>
          <w:b w:val="false"/>
          <w:bCs w:val="false"/>
          <w:color w:val="000000"/>
          <w:highlight w:val="white"/>
          <w:lang w:eastAsia="ru-RU"/>
        </w:rPr>
        <w:t>22 февраля 1955 г.р., зарегистрированный по адресу: Краснодарский край, Красноармейский район, ст.Новомыышатовская, ул.Славянская, дом      № 40 - физическое лицо, заявка на участие  принята 17 ноября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2.Строцкая Зоя Александровна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июня 1966 г.р., зарегистрированная по адресу: Краснодарский край, Приморско-Ахтарский р-н., ст. Бриньковская, ул. Октябрьская,  д. 8 - физическое лицо, заявка на участие  принята 19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ноября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3.Коломиец Светлана Викторовна,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октября 1976 г.р., зарегистрированная по адресу: Краснодарский край, Красноармейский район, п.Рисоопытный, ул.Комсомольская, д.28, кв.1   - физическое лицо, заявка на участие  принята  22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ноября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4</w:t>
      </w:r>
      <w:r>
        <w:rPr>
          <w:b/>
          <w:bCs/>
          <w:color w:val="000000"/>
          <w:highlight w:val="white"/>
          <w:lang w:eastAsia="ru-RU"/>
        </w:rPr>
        <w:t>.</w:t>
      </w:r>
      <w:r>
        <w:rPr>
          <w:b/>
          <w:bCs/>
          <w:color w:val="000000"/>
          <w:highlight w:val="white"/>
          <w:lang w:eastAsia="ru-RU"/>
        </w:rPr>
        <w:t>Решетников Никита Сергеевич, 06 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96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 по адресу: </w:t>
      </w:r>
      <w:r>
        <w:rPr>
          <w:b w:val="false"/>
          <w:bCs w:val="false"/>
          <w:color w:val="000000"/>
          <w:highlight w:val="white"/>
          <w:lang w:eastAsia="ru-RU"/>
        </w:rPr>
        <w:t>Ростовская область, Красносулинский район, х.Дудкино, ул. Восточная, 12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25</w:t>
      </w:r>
      <w:r>
        <w:rPr>
          <w:b w:val="false"/>
          <w:bCs w:val="false"/>
          <w:color w:val="000000"/>
          <w:highlight w:val="white"/>
          <w:lang w:eastAsia="ru-RU"/>
        </w:rPr>
        <w:t xml:space="preserve"> ноября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5</w:t>
      </w:r>
      <w:r>
        <w:rPr>
          <w:b/>
          <w:bCs/>
          <w:color w:val="000000"/>
          <w:highlight w:val="white"/>
          <w:lang w:eastAsia="ru-RU"/>
        </w:rPr>
        <w:t>. Чубарь Нина Анатольевна,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  по адресу: Краснодарский край,  Калиненский район, ст. Старовеличковская,, ул. Долиновская , д. 26А - физическое лицо, заявка на участие  принята  26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ноября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Допустить к участию в аукционе и признать участниками аукциона: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ЛОТУ № 1: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1.Тушнинский Василий Николаевич, </w:t>
      </w:r>
      <w:r>
        <w:rPr>
          <w:b w:val="false"/>
          <w:bCs w:val="false"/>
          <w:color w:val="000000"/>
          <w:highlight w:val="white"/>
          <w:lang w:eastAsia="ru-RU"/>
        </w:rPr>
        <w:t xml:space="preserve">22 февраля 1955 г.р., зарегистрированный по адресу: Краснодарский край, Красноармейский район, ст.Новомыышатовская, ул.Славянская, дом      № 40 -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2.Строцкая Зоя Александровна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июня 1966 г.р., зарегистрированная по адресу: Краснодарский край, Приморско-Ахтарский р-н., ст. Бриньковская, ул. Октябрьская,  д. 8 - </w:t>
      </w:r>
      <w:r>
        <w:rPr>
          <w:b/>
          <w:bCs/>
          <w:color w:val="000000"/>
          <w:highlight w:val="white"/>
          <w:lang w:eastAsia="ru-RU"/>
        </w:rPr>
        <w:t>признать участником № 2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3.Коломиец Светлана Викторовна,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22 октября 1976 г.р., зарегистрированная по адресу: Краснодарский край, Красноармейский район, п.Рисоопытный, ул.Комсомольская, д.28, кв.1  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4</w:t>
      </w:r>
      <w:r>
        <w:rPr>
          <w:b/>
          <w:bCs/>
          <w:color w:val="000000"/>
          <w:highlight w:val="white"/>
          <w:lang w:eastAsia="ru-RU"/>
        </w:rPr>
        <w:t>.</w:t>
      </w:r>
      <w:r>
        <w:rPr>
          <w:b/>
          <w:bCs/>
          <w:color w:val="000000"/>
          <w:highlight w:val="white"/>
          <w:lang w:eastAsia="ru-RU"/>
        </w:rPr>
        <w:t>Решетников Никита Сергеевич, 06 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96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 по адресу: </w:t>
      </w:r>
      <w:r>
        <w:rPr>
          <w:b w:val="false"/>
          <w:bCs w:val="false"/>
          <w:color w:val="000000"/>
          <w:highlight w:val="white"/>
          <w:lang w:eastAsia="ru-RU"/>
        </w:rPr>
        <w:t>Ростовская область, Красносулинский район, х.Дудкино, ул. Восточная, 12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 xml:space="preserve">признать участником № </w:t>
      </w:r>
      <w:r>
        <w:rPr>
          <w:b/>
          <w:bCs/>
          <w:color w:val="000000"/>
          <w:highlight w:val="white"/>
          <w:lang w:eastAsia="ru-RU"/>
        </w:rPr>
        <w:t>4.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5</w:t>
      </w:r>
      <w:r>
        <w:rPr>
          <w:b/>
          <w:bCs/>
          <w:color w:val="000000"/>
          <w:highlight w:val="white"/>
          <w:lang w:eastAsia="ru-RU"/>
        </w:rPr>
        <w:t>. Чубарь Нина Анатольевна,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  по адресу: Краснодарский край,  Калиненский район, ст. Старовеличковская,, ул. Долиновская , д. 26А - </w:t>
      </w:r>
      <w:bookmarkStart w:id="3" w:name="__DdeLink__2115_3432132127"/>
      <w:r>
        <w:rPr>
          <w:b/>
          <w:bCs/>
          <w:color w:val="000000"/>
          <w:highlight w:val="white"/>
          <w:lang w:eastAsia="ru-RU"/>
        </w:rPr>
        <w:t xml:space="preserve">признать участником № </w:t>
      </w:r>
      <w:r>
        <w:rPr>
          <w:b/>
          <w:bCs/>
          <w:color w:val="000000"/>
          <w:highlight w:val="white"/>
          <w:lang w:eastAsia="ru-RU"/>
        </w:rPr>
        <w:t>5</w:t>
      </w:r>
      <w:r>
        <w:rPr>
          <w:b/>
          <w:bCs/>
          <w:color w:val="000000"/>
          <w:highlight w:val="white"/>
          <w:lang w:eastAsia="ru-RU"/>
        </w:rPr>
        <w:t>.</w:t>
      </w:r>
      <w:bookmarkEnd w:id="3"/>
    </w:p>
    <w:p>
      <w:pPr>
        <w:pStyle w:val="Normal"/>
        <w:widowControl/>
        <w:bidi w:val="0"/>
        <w:ind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left="-57" w:right="0" w:hanging="0"/>
        <w:jc w:val="both"/>
        <w:rPr/>
      </w:pPr>
      <w:bookmarkStart w:id="4" w:name="__DdeLink__14773_1875994055"/>
      <w:bookmarkEnd w:id="4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b w:val="false"/>
          <w:b w:val="false"/>
          <w:bCs w:val="false"/>
          <w:sz w:val="24"/>
          <w:szCs w:val="24"/>
          <w:lang w:eastAsia="ar-SA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clear" w:pos="708"/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strike w:val="false"/>
      <w:dstrike w:val="false"/>
      <w:color w:val="2A4EA1"/>
      <w:u w:val="single"/>
      <w:effect w:val="none"/>
    </w:rPr>
  </w:style>
  <w:style w:type="character" w:styleId="Style15">
    <w:name w:val="Основной текст с отступом Знак"/>
    <w:basedOn w:val="DefaultParagraphFont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Style22">
    <w:name w:val="Body Text Indent"/>
    <w:basedOn w:val="Normal"/>
    <w:pPr>
      <w:spacing w:before="0" w:after="120"/>
      <w:ind w:left="283" w:right="0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Application>LibreOffice/6.2.1.2$Windows_x86 LibreOffice_project/7bcb35dc3024a62dea0caee87020152d1ee96e71</Application>
  <Pages>3</Pages>
  <Words>959</Words>
  <Characters>6575</Characters>
  <CharactersWithSpaces>8034</CharactersWithSpaces>
  <Paragraphs>83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2021-11-29T10:59:29Z</cp:lastPrinted>
  <dcterms:modified xsi:type="dcterms:W3CDTF">2021-11-29T11:00:09Z</dcterms:modified>
  <cp:revision>233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